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附件一、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莆田学院附属医院新型肺炎计算机终端设备需求清单</w:t>
      </w:r>
    </w:p>
    <w:tbl>
      <w:tblPr>
        <w:tblStyle w:val="2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15"/>
        <w:gridCol w:w="6521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65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规格参数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云桌面计算终端</w:t>
            </w: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Cs w:val="21"/>
              </w:rPr>
              <w:t>★</w:t>
            </w:r>
            <w:r>
              <w:rPr>
                <w:sz w:val="24"/>
                <w:szCs w:val="24"/>
              </w:rPr>
              <w:t>1、软硬件一体化设备，内置虚拟化系统和桌面云软件。具有自主知识产权，非OEM。</w:t>
            </w:r>
            <w:bookmarkStart w:id="0" w:name="_GoBack"/>
            <w:bookmarkEnd w:id="0"/>
            <w:r>
              <w:rPr>
                <w:sz w:val="24"/>
                <w:szCs w:val="24"/>
              </w:rPr>
              <w:t>同时需与医院现有云桌面系统无缝兼容，保证系统稳定运行。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2、配置≥Intel第八代四核四线程处理器（处理器主频≥3.6GHz）；内存≥8GB，显卡≥Intel UHD 630；本地存储≥256 GB SSD；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3、为节约桌面空间，终端主体尺寸部分(L*W*H)≤20cm*20cm*6cm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4、USB接口≥8个（包含≥2个USB 3.0接口），≥1个千兆网口，≥1个VGA接口，≥1个HDMI接口，≥1对音频输入输出接口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5、配置≥1个内存扩展槽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配置≥1个硬盘扩展槽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6、为了降低部署难度，终端首次上电后支持终端配置向导，无需管理员账号即可实现终端配置，降低配置难度。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7、为了适用不同的业务应用场景，终端支持多种模式切换，包含但不限于个人桌面使用的个性化模式、公共桌面使用的还原模式、公共查询端使用的无账号公用模式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8、为了便于终端部署在讲桌或办公桌面底部，终端需提供外延电源开关接口，方便开关机，需提供功能截图证明。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9、终端支持终端自身及虚拟桌面IP地址设置，为了便于管理，能够通过web管理端进行IP地址修改与维护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10、终端支持在第八代CPU下运行XP及win7等老系统。需提供功能截图证明。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11、支持上电自启动功能，并能够根据实际使用情况选择关闭或开启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12、保障业务连续性，在网络中断、服务器宕机的情况下，依然支持离线使用虚拟云桌面。需提供功能截图证明。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13、终端支持U盘传输镜像，并可将终端转化为镜像分发服务端，对外快速分发镜像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14、支持终端显卡透传，能够将终端物理显卡透传至虚拟机中，支持部分对物理显卡有要求场景，如基础3D软件的运行。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15、包含键盘鼠标，</w:t>
            </w:r>
            <w:r>
              <w:rPr>
                <w:rFonts w:hint="eastAsia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SB</w:t>
            </w:r>
            <w:r>
              <w:rPr>
                <w:rFonts w:hint="eastAsia"/>
                <w:sz w:val="24"/>
                <w:szCs w:val="24"/>
              </w:rPr>
              <w:t>光电键盘鼠标，提供不小于3年质保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16、包含液晶显示器。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液晶显示器参数要求：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17、</w:t>
            </w:r>
            <w:r>
              <w:rPr>
                <w:rFonts w:hint="eastAsia"/>
                <w:sz w:val="24"/>
                <w:szCs w:val="24"/>
              </w:rPr>
              <w:t>提供不小于2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英寸，显示比例1</w:t>
            </w:r>
            <w:r>
              <w:rPr>
                <w:sz w:val="24"/>
                <w:szCs w:val="24"/>
              </w:rPr>
              <w:t>6:9,</w:t>
            </w:r>
            <w:r>
              <w:rPr>
                <w:rFonts w:hint="eastAsia"/>
                <w:sz w:val="24"/>
                <w:szCs w:val="24"/>
              </w:rPr>
              <w:t>分辨率不小于1</w:t>
            </w:r>
            <w:r>
              <w:rPr>
                <w:sz w:val="24"/>
                <w:szCs w:val="24"/>
              </w:rPr>
              <w:t>080P(1920*1080) IPS面板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18、</w:t>
            </w:r>
            <w:r>
              <w:rPr>
                <w:sz w:val="24"/>
                <w:szCs w:val="24"/>
              </w:rPr>
              <w:t>LED</w:t>
            </w:r>
            <w:r>
              <w:rPr>
                <w:rFonts w:hint="eastAsia"/>
                <w:sz w:val="24"/>
                <w:szCs w:val="24"/>
              </w:rPr>
              <w:t>背光，灰阶响应时间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不大于</w:t>
            </w:r>
            <w:r>
              <w:rPr>
                <w:sz w:val="24"/>
                <w:szCs w:val="24"/>
              </w:rPr>
              <w:t>5ms</w:t>
            </w:r>
            <w:r>
              <w:rPr>
                <w:rFonts w:hint="eastAsia"/>
                <w:sz w:val="24"/>
                <w:szCs w:val="24"/>
              </w:rPr>
              <w:t>，亮度</w:t>
            </w:r>
            <w:r>
              <w:rPr>
                <w:sz w:val="24"/>
                <w:szCs w:val="24"/>
              </w:rPr>
              <w:t xml:space="preserve"> 250cd/㎡ 3</w:t>
            </w:r>
            <w:r>
              <w:rPr>
                <w:rFonts w:hint="eastAsia"/>
                <w:sz w:val="24"/>
                <w:szCs w:val="24"/>
              </w:rPr>
              <w:t>、静态对比度</w:t>
            </w:r>
            <w:r>
              <w:rPr>
                <w:sz w:val="24"/>
                <w:szCs w:val="24"/>
              </w:rPr>
              <w:t xml:space="preserve"> 1000:1 </w:t>
            </w:r>
            <w:r>
              <w:rPr>
                <w:rFonts w:hint="eastAsia"/>
                <w:sz w:val="24"/>
                <w:szCs w:val="24"/>
              </w:rPr>
              <w:t>可视角度</w:t>
            </w:r>
            <w:r>
              <w:rPr>
                <w:sz w:val="24"/>
                <w:szCs w:val="24"/>
              </w:rPr>
              <w:t xml:space="preserve"> 178°/178°(CR&gt;10) 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19、</w:t>
            </w:r>
            <w:r>
              <w:rPr>
                <w:rFonts w:hint="eastAsia"/>
                <w:sz w:val="24"/>
                <w:szCs w:val="24"/>
              </w:rPr>
              <w:t>提供</w:t>
            </w:r>
            <w:r>
              <w:rPr>
                <w:sz w:val="24"/>
                <w:szCs w:val="24"/>
              </w:rPr>
              <w:t>VGA+HDMI</w:t>
            </w:r>
            <w:r>
              <w:rPr>
                <w:rFonts w:hint="eastAsia"/>
                <w:sz w:val="24"/>
                <w:szCs w:val="24"/>
              </w:rPr>
              <w:t>接口类型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20、</w:t>
            </w:r>
            <w:r>
              <w:rPr>
                <w:rFonts w:hint="eastAsia"/>
                <w:sz w:val="24"/>
                <w:szCs w:val="24"/>
              </w:rPr>
              <w:t>提供不小于3年商品质保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eastAsia="等线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default" w:eastAsia="等线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激光打印机</w:t>
            </w:r>
          </w:p>
        </w:tc>
        <w:tc>
          <w:tcPr>
            <w:tcW w:w="6521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黑白激光打印机；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鼓粉一体；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最大打印幅面：A4；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内存容量：》64MB；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分辨率：4800*600dpi；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打印速度：》38页/分；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支持网络打印；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自动双面打印；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接口类型：1个USB口，一个以太网端口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进纸容量》150页。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适用系统：</w:t>
            </w:r>
            <w:r>
              <w:rPr>
                <w:rFonts w:ascii="宋体" w:hAnsi="宋体" w:eastAsia="宋体" w:cs="宋体"/>
                <w:sz w:val="24"/>
                <w:szCs w:val="24"/>
              </w:rPr>
              <w:t>Windows客户端操作系统(32/64位)：Win10、Win8.1、Win 8 Basic、Win8 Pro、Win8 Enterprise、Win8 Enterprise N、Win7 Starter Edition SP1、UPD Win7 Ultimate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eastAsia="等线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</w:tr>
    </w:tbl>
    <w:p>
      <w:pPr>
        <w:jc w:val="left"/>
        <w:rPr>
          <w:rFonts w:hint="eastAsia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CAE489"/>
    <w:multiLevelType w:val="singleLevel"/>
    <w:tmpl w:val="82CAE48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9377F13"/>
    <w:rsid w:val="51723745"/>
    <w:rsid w:val="5DEE3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844</Characters>
  <Lines>7</Lines>
  <Paragraphs>1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2020-02-01T03:03:00Z</dcterms:created>
  <dc:creator>z jn</dc:creator>
  <cp:lastModifiedBy>Administrator</cp:lastModifiedBy>
  <dcterms:modified xsi:type="dcterms:W3CDTF">2020-02-02T08:36:19Z</dcterms:modified>
  <dc:title>附件一、莆田学院附属医院新型肺炎计算机终端设备需求清单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